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491F8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jc w:val="center"/>
        <w:textAlignment w:val="auto"/>
        <w:rPr>
          <w:rFonts w:ascii="黑体" w:hAnsi="黑体" w:eastAsia="黑体"/>
          <w:sz w:val="40"/>
          <w:szCs w:val="40"/>
        </w:rPr>
      </w:pPr>
      <w:bookmarkStart w:id="0" w:name="_Hlk70346677"/>
      <w:r>
        <w:rPr>
          <w:rFonts w:hint="eastAsia" w:ascii="黑体" w:hAnsi="黑体" w:eastAsia="黑体"/>
          <w:sz w:val="40"/>
          <w:szCs w:val="40"/>
        </w:rPr>
        <w:t>北京工商</w:t>
      </w:r>
      <w:r>
        <w:rPr>
          <w:rFonts w:ascii="黑体" w:hAnsi="黑体" w:eastAsia="黑体"/>
          <w:sz w:val="40"/>
          <w:szCs w:val="40"/>
        </w:rPr>
        <w:t>大学</w:t>
      </w:r>
      <w:r>
        <w:rPr>
          <w:rFonts w:hint="eastAsia" w:ascii="黑体" w:hAnsi="黑体" w:eastAsia="黑体"/>
          <w:sz w:val="40"/>
          <w:szCs w:val="40"/>
        </w:rPr>
        <w:t>教职工</w:t>
      </w:r>
      <w:r>
        <w:rPr>
          <w:rFonts w:ascii="黑体" w:hAnsi="黑体" w:eastAsia="黑体"/>
          <w:sz w:val="40"/>
          <w:szCs w:val="40"/>
        </w:rPr>
        <w:t>理论学习应知应会</w:t>
      </w:r>
    </w:p>
    <w:p w14:paraId="282FB8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276" w:line="540" w:lineRule="exact"/>
        <w:jc w:val="center"/>
        <w:textAlignment w:val="auto"/>
        <w:rPr>
          <w:rFonts w:hint="eastAsia" w:ascii="楷体_GB2312" w:hAnsi="楷体_GB2312" w:eastAsia="楷体_GB2312" w:cs="楷体_GB2312"/>
          <w:sz w:val="36"/>
          <w:szCs w:val="36"/>
        </w:rPr>
      </w:pPr>
      <w:r>
        <w:rPr>
          <w:rFonts w:hint="eastAsia" w:ascii="楷体_GB2312" w:hAnsi="楷体_GB2312" w:eastAsia="楷体_GB2312" w:cs="楷体_GB2312"/>
          <w:sz w:val="36"/>
          <w:szCs w:val="36"/>
        </w:rPr>
        <w:t>（</w:t>
      </w:r>
      <w:r>
        <w:rPr>
          <w:rFonts w:hint="eastAsia" w:ascii="楷体_GB2312" w:hAnsi="楷体_GB2312" w:eastAsia="楷体_GB2312" w:cs="楷体_GB2312"/>
          <w:sz w:val="36"/>
          <w:szCs w:val="36"/>
          <w:lang w:val="en-US" w:eastAsia="zh-CN"/>
        </w:rPr>
        <w:t>2025年第8</w:t>
      </w:r>
      <w:bookmarkStart w:id="1" w:name="_GoBack"/>
      <w:bookmarkEnd w:id="1"/>
      <w:r>
        <w:rPr>
          <w:rFonts w:hint="eastAsia" w:ascii="楷体_GB2312" w:hAnsi="楷体_GB2312" w:eastAsia="楷体_GB2312" w:cs="楷体_GB2312"/>
          <w:sz w:val="36"/>
          <w:szCs w:val="36"/>
          <w:lang w:val="en-US" w:eastAsia="zh-CN"/>
        </w:rPr>
        <w:t>期</w:t>
      </w:r>
      <w:r>
        <w:rPr>
          <w:rFonts w:hint="eastAsia" w:ascii="楷体_GB2312" w:hAnsi="楷体_GB2312" w:eastAsia="楷体_GB2312" w:cs="楷体_GB2312"/>
          <w:sz w:val="36"/>
          <w:szCs w:val="36"/>
        </w:rPr>
        <w:t>）</w:t>
      </w:r>
    </w:p>
    <w:p w14:paraId="387F6728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1.新征程继续推进生态文明建设需要处理好几个重大关系：一是</w:t>
      </w:r>
      <w:r>
        <w:rPr>
          <w:rFonts w:hint="eastAsia" w:ascii="仿宋" w:hAnsi="仿宋" w:eastAsia="仿宋"/>
          <w:b/>
          <w:bCs/>
          <w:sz w:val="32"/>
          <w:szCs w:val="32"/>
          <w:highlight w:val="none"/>
          <w:lang w:val="en-US" w:eastAsia="zh-CN"/>
        </w:rPr>
        <w:t>高质量发展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仿宋" w:hAnsi="仿宋" w:eastAsia="仿宋"/>
          <w:b/>
          <w:bCs/>
          <w:sz w:val="32"/>
          <w:szCs w:val="32"/>
          <w:highlight w:val="none"/>
          <w:lang w:val="en-US" w:eastAsia="zh-CN"/>
        </w:rPr>
        <w:t>高水平保护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的关系；二是</w:t>
      </w:r>
      <w:r>
        <w:rPr>
          <w:rFonts w:hint="eastAsia" w:ascii="仿宋" w:hAnsi="仿宋" w:eastAsia="仿宋"/>
          <w:b/>
          <w:bCs/>
          <w:sz w:val="32"/>
          <w:szCs w:val="32"/>
          <w:highlight w:val="none"/>
          <w:lang w:val="en-US" w:eastAsia="zh-CN"/>
        </w:rPr>
        <w:t>重点攻坚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仿宋" w:hAnsi="仿宋" w:eastAsia="仿宋"/>
          <w:b/>
          <w:bCs/>
          <w:sz w:val="32"/>
          <w:szCs w:val="32"/>
          <w:highlight w:val="none"/>
          <w:lang w:val="en-US" w:eastAsia="zh-CN"/>
        </w:rPr>
        <w:t>协同治理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的关系；三是</w:t>
      </w:r>
      <w:r>
        <w:rPr>
          <w:rFonts w:hint="eastAsia" w:ascii="仿宋" w:hAnsi="仿宋" w:eastAsia="仿宋"/>
          <w:b/>
          <w:bCs/>
          <w:sz w:val="32"/>
          <w:szCs w:val="32"/>
          <w:highlight w:val="none"/>
          <w:lang w:val="en-US" w:eastAsia="zh-CN"/>
        </w:rPr>
        <w:t>自然恢复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仿宋" w:hAnsi="仿宋" w:eastAsia="仿宋"/>
          <w:b/>
          <w:bCs/>
          <w:sz w:val="32"/>
          <w:szCs w:val="32"/>
          <w:highlight w:val="none"/>
          <w:lang w:val="en-US" w:eastAsia="zh-CN"/>
        </w:rPr>
        <w:t>人工修复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的关系；四是</w:t>
      </w:r>
      <w:r>
        <w:rPr>
          <w:rFonts w:hint="eastAsia" w:ascii="仿宋" w:hAnsi="仿宋" w:eastAsia="仿宋"/>
          <w:b/>
          <w:bCs/>
          <w:sz w:val="32"/>
          <w:szCs w:val="32"/>
          <w:highlight w:val="none"/>
          <w:lang w:val="en-US" w:eastAsia="zh-CN"/>
        </w:rPr>
        <w:t>外部约束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仿宋" w:hAnsi="仿宋" w:eastAsia="仿宋"/>
          <w:b/>
          <w:bCs/>
          <w:sz w:val="32"/>
          <w:szCs w:val="32"/>
          <w:highlight w:val="none"/>
          <w:lang w:val="en-US" w:eastAsia="zh-CN"/>
        </w:rPr>
        <w:t>内生动力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的关系；五是</w:t>
      </w:r>
      <w:r>
        <w:rPr>
          <w:rFonts w:hint="eastAsia" w:ascii="仿宋" w:hAnsi="仿宋" w:eastAsia="仿宋"/>
          <w:b/>
          <w:bCs/>
          <w:sz w:val="32"/>
          <w:szCs w:val="32"/>
          <w:highlight w:val="none"/>
          <w:lang w:val="en-US" w:eastAsia="zh-CN"/>
        </w:rPr>
        <w:t>“双碳”承诺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和</w:t>
      </w:r>
      <w:r>
        <w:rPr>
          <w:rFonts w:hint="eastAsia" w:ascii="仿宋" w:hAnsi="仿宋" w:eastAsia="仿宋"/>
          <w:b/>
          <w:bCs/>
          <w:sz w:val="32"/>
          <w:szCs w:val="32"/>
          <w:highlight w:val="none"/>
          <w:lang w:val="en-US" w:eastAsia="zh-CN"/>
        </w:rPr>
        <w:t>自主行动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的关系。</w:t>
      </w:r>
    </w:p>
    <w:p w14:paraId="14B81098">
      <w:pPr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  <w:t>党的作风就是</w:t>
      </w:r>
      <w:r>
        <w:rPr>
          <w:rFonts w:hint="default" w:ascii="仿宋" w:hAnsi="仿宋" w:eastAsia="仿宋" w:cstheme="minorBidi"/>
          <w:b/>
          <w:bCs/>
          <w:kern w:val="0"/>
          <w:sz w:val="32"/>
          <w:szCs w:val="32"/>
          <w:highlight w:val="none"/>
          <w:lang w:val="en-US" w:eastAsia="zh-CN"/>
        </w:rPr>
        <w:t>党的形象</w:t>
      </w:r>
      <w:r>
        <w:rPr>
          <w:rFonts w:hint="default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  <w:t>，关系人心向背，关系党的生死存亡。我们党作为一个在中国长期执政的马克思主义政党，对作风问题任何时候都不能掉以轻心</w:t>
      </w:r>
      <w:r>
        <w:rPr>
          <w:rFonts w:hint="eastAsia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  <w:t>。</w:t>
      </w:r>
    </w:p>
    <w:p w14:paraId="20636D4D">
      <w:pPr>
        <w:numPr>
          <w:ilvl w:val="0"/>
          <w:numId w:val="0"/>
        </w:numPr>
        <w:spacing w:line="560" w:lineRule="exact"/>
        <w:ind w:firstLine="640" w:firstLineChars="200"/>
        <w:rPr>
          <w:rFonts w:hint="default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  <w:t>3.</w:t>
      </w:r>
      <w:bookmarkEnd w:id="0"/>
      <w:r>
        <w:rPr>
          <w:rFonts w:hint="default" w:ascii="仿宋" w:hAnsi="仿宋" w:eastAsia="仿宋" w:cstheme="minorBidi"/>
          <w:b/>
          <w:bCs/>
          <w:kern w:val="0"/>
          <w:sz w:val="32"/>
          <w:szCs w:val="32"/>
          <w:highlight w:val="none"/>
          <w:lang w:val="en-US" w:eastAsia="zh-CN"/>
        </w:rPr>
        <w:t>作风问题核心是党同人民群众的关系问题</w:t>
      </w:r>
      <w:r>
        <w:rPr>
          <w:rFonts w:hint="default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  <w:t>。加强作风建设，必须坚持马克思主义群众观点、贯彻党的群众路线，把出发点和落脚点归结到实现好、维护好、发展好最广大人民根本利益上来，归结到为民务实清廉上来，使改进作风的过程成为贯彻执行党的理论和路线方针政策的过程，成为推动改革开放和社会主义现代化建设顺利进行的过程。</w:t>
      </w:r>
    </w:p>
    <w:p w14:paraId="32D2BA7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theme="minorBidi"/>
          <w:kern w:val="0"/>
          <w:sz w:val="32"/>
          <w:szCs w:val="32"/>
          <w:highlight w:val="none"/>
          <w:lang w:val="en-US" w:eastAsia="zh-CN"/>
        </w:rPr>
      </w:pPr>
    </w:p>
    <w:sectPr>
      <w:footerReference r:id="rId3" w:type="default"/>
      <w:pgSz w:w="11906" w:h="16838" w:orient="landscape"/>
      <w:pgMar w:top="1440" w:right="1800" w:bottom="1440" w:left="1800" w:header="851" w:footer="992" w:gutter="0"/>
      <w:cols w:space="425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75487623"/>
      <w:docPartObj>
        <w:docPartGallery w:val="autotext"/>
      </w:docPartObj>
    </w:sdtPr>
    <w:sdtContent>
      <w:p w14:paraId="331D05DA">
        <w:pPr>
          <w:pStyle w:val="19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balanceSingleByteDoubleByteWidth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yZmQ4YmE5Yjg5ZTQxMjg0M2MzZTMwMmExYTU2MTYifQ=="/>
  </w:docVars>
  <w:rsids>
    <w:rsidRoot w:val="00000000"/>
    <w:rsid w:val="005F1A6A"/>
    <w:rsid w:val="0A5A448A"/>
    <w:rsid w:val="124E2005"/>
    <w:rsid w:val="139E0C1F"/>
    <w:rsid w:val="4BDD18AE"/>
    <w:rsid w:val="516F6B28"/>
    <w:rsid w:val="6F216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